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Visual w:val="0"/>
        <w:tblW w:w="146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5"/>
        <w:gridCol w:w="2460"/>
        <w:gridCol w:w="3810"/>
        <w:gridCol w:w="2850"/>
        <w:gridCol w:w="1815"/>
        <w:gridCol w:w="1785"/>
        <w:tblGridChange w:id="0">
          <w:tblGrid>
            <w:gridCol w:w="1965"/>
            <w:gridCol w:w="2460"/>
            <w:gridCol w:w="3810"/>
            <w:gridCol w:w="2850"/>
            <w:gridCol w:w="1815"/>
            <w:gridCol w:w="1785"/>
          </w:tblGrid>
        </w:tblGridChange>
      </w:tblGrid>
      <w:tr>
        <w:trPr>
          <w:trHeight w:val="1020" w:hRule="atLeast"/>
        </w:trPr>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Strategic Plan Area</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Goal(s) – Intended Growth Outcomes </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Objective(s) – Actions or Strategies to be Implemented </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Measurement Tool</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Interim Progress Report (Date and Data)</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Final Progress Report (Date and Data)</w:t>
            </w:r>
          </w:p>
        </w:tc>
      </w:tr>
      <w:tr>
        <w:trPr>
          <w:trHeight w:val="620" w:hRule="atLeast"/>
        </w:trPr>
        <w:tc>
          <w:tcPr>
            <w:gridSpan w:val="6"/>
            <w:shd w:fill="d9d9d9"/>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Curriculum</w:t>
            </w:r>
          </w:p>
        </w:tc>
      </w:tr>
      <w:tr>
        <w:trPr>
          <w:trHeight w:val="52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 Reading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Students in grades 9-12 will show growth in their reading scores as demonstrated on the STAR, district and department level assessments.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English teachers will work with the building interventionist and their subject area PLG’s in order to provide instruction aimed at improving reading comprehension and closing the gap for those students below grade level.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Test will be administered and results analyzed and compared to other assessment data and previous year's performance </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Renaissance Learning STAR assessment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PSAT/SAT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4x throughout the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Fall/Spring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June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When scores are made available by the college board (2-6 weeks after test date)</w:t>
            </w:r>
          </w:p>
        </w:tc>
      </w:tr>
      <w:tr>
        <w:trPr>
          <w:trHeight w:val="52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 Math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Students in grades 9-12 will show growth in a wide variety of skills covering Algebra 1, Geometry, and Algebra 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Teachers will utilize district performance tasks to monitor student performance and utilize PLG’s to focus instructional practices on specific areas of needs.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Teachers will work with building interventionist to target specific instruction in order to close the gap for those students below grade level.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Test will be administered and results analyzed and compared to other assessment data and previous year's performance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Renaissance Learning STAR Math assessment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Renaissance Learning STAR Math assessment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PSAT/SAT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4x throughout the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4x throughout the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Fall/Spring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June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June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When scores are made available by the college board (2-6 weeks after test date)</w:t>
            </w:r>
          </w:p>
        </w:tc>
      </w:tr>
      <w:tr>
        <w:trPr>
          <w:trHeight w:val="52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 Writing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Students in grades 9-11 will improve their performance in writing as measured on district writing assessments.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Teachers will utilize district performance tasks and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Common Formative Assessments to monitor student performance and utilize data teams to focus instructional practices on specific areas of needs.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Test will be administered and results analyzed and compared to other assessment data and previous year's performance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District Performance Task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SAT (Essay is optional on newly designed SAT which will be administered for the first time this spring.  State SAT will not have writing portion)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District Performance Task – Jan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Fall/Spring</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June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When scores are made available by the college board (2-3 weeks after test date)</w:t>
            </w:r>
          </w:p>
        </w:tc>
      </w:tr>
      <w:tr>
        <w:trPr>
          <w:trHeight w:val="1860" w:hRule="atLeast"/>
        </w:trPr>
        <w:tc>
          <w:tcPr>
            <w:shd w:fill="d9d9d9"/>
          </w:tcPr>
          <w:p w:rsidR="00000000" w:rsidDel="00000000" w:rsidP="00000000" w:rsidRDefault="00000000" w:rsidRPr="00000000">
            <w:pPr>
              <w:contextualSpacing w:val="0"/>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Community Outreach / Partnerships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Increase community involvement and support of Lyman Hall.</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Celebrating Lyman Hall’s 100th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Administration will continue to</w:t>
            </w:r>
            <w:r w:rsidDel="00000000" w:rsidR="00000000" w:rsidRPr="00000000">
              <w:rPr>
                <w:rFonts w:ascii="Times New Roman" w:cs="Times New Roman" w:eastAsia="Times New Roman" w:hAnsi="Times New Roman"/>
                <w:rtl w:val="0"/>
              </w:rPr>
              <w:t xml:space="preserve"> update electronic communication with parents and community stakeholders.</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Staff will promote opportunities for extracurricular involvement.</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color w:val="ff0000"/>
                <w:rtl w:val="0"/>
              </w:rPr>
              <w:t xml:space="preserv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rtl w:val="0"/>
              </w:rPr>
              <w:t xml:space="preserve">Administration will maintain Lyman Hall web page to include updates, photos, and links.</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Staff will showcase student work and communicate with families.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Administration and staff will continue to improve communication with parents of Hispanic students.</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Events involving current students and faculty as well as alumni, local businesses, and former staff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End of year p</w:t>
            </w:r>
            <w:r w:rsidDel="00000000" w:rsidR="00000000" w:rsidRPr="00000000">
              <w:rPr>
                <w:rFonts w:ascii="Times New Roman" w:cs="Times New Roman" w:eastAsia="Times New Roman" w:hAnsi="Times New Roman"/>
                <w:rtl w:val="0"/>
              </w:rPr>
              <w:t xml:space="preserve">arent survey - will assess best practices for communication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Email Blasts, Twitter feeds</w:t>
            </w:r>
            <w:r w:rsidDel="00000000" w:rsidR="00000000" w:rsidRPr="00000000">
              <w:rPr>
                <w:rFonts w:ascii="Times New Roman" w:cs="Times New Roman" w:eastAsia="Times New Roman" w:hAnsi="Times New Roman"/>
                <w:rtl w:val="0"/>
              </w:rPr>
              <w:t xml:space="preserve">, facebook,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Increased participation in extracurricular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Links to all booster clubs,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PTAC calendar with meeting topics a year out.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Website visit counts, school messenger reports.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Placing student work throughout the community.  Using Twitter accounts to highlight student work and events.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Meeting with Hispanic families through SCOW, new club “</w:t>
            </w:r>
            <w:r w:rsidDel="00000000" w:rsidR="00000000" w:rsidRPr="00000000">
              <w:rPr>
                <w:rFonts w:ascii="Times New Roman" w:cs="Times New Roman" w:eastAsia="Times New Roman" w:hAnsi="Times New Roman"/>
                <w:color w:val="222222"/>
                <w:highlight w:val="white"/>
                <w:rtl w:val="0"/>
              </w:rPr>
              <w:t xml:space="preserve">We are Adelante, too” provides extracurricular time for students to meet at Lyman Hall</w:t>
            </w:r>
            <w:r w:rsidDel="00000000" w:rsidR="00000000" w:rsidRPr="00000000">
              <w:rPr>
                <w:rFonts w:ascii="Times New Roman" w:cs="Times New Roman" w:eastAsia="Times New Roman" w:hAnsi="Times New Roman"/>
                <w:rtl w:val="0"/>
              </w:rPr>
              <w:t xml:space="preserve">, and increasing their involvement in all school organizations and events.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Ongoing, 2016-2017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Ongoing, 2016-2017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Ongoing, 2016-2017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Ongoing, 2016-2017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Ongoing, 2016-2017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Ongoing, 2015-2016</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June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June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June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June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June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June 2017</w:t>
            </w:r>
          </w:p>
        </w:tc>
      </w:tr>
      <w:tr>
        <w:trPr>
          <w:trHeight w:val="36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400" w:hRule="atLeast"/>
        </w:trPr>
        <w:tc>
          <w:tcPr>
            <w:tcBorders>
              <w:right w:color="000000" w:space="0" w:sz="8" w:val="single"/>
            </w:tcBorders>
            <w:shd w:fill="d9d9d9"/>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Climate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Increase positive behaviors and continue to decrease the number of office referrals for disciplinary infractions.</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PRIDE Committee will oversee the continued i</w:t>
            </w:r>
            <w:r w:rsidDel="00000000" w:rsidR="00000000" w:rsidRPr="00000000">
              <w:rPr>
                <w:rFonts w:ascii="Times New Roman" w:cs="Times New Roman" w:eastAsia="Times New Roman" w:hAnsi="Times New Roman"/>
                <w:rtl w:val="0"/>
              </w:rPr>
              <w:t xml:space="preserve">mplementation of PBIS framework, utilizing specific strategies addressed through advisory, office hours, and our PRIDE initiative.</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School Wide Information S</w:t>
            </w:r>
            <w:r w:rsidDel="00000000" w:rsidR="00000000" w:rsidRPr="00000000">
              <w:rPr>
                <w:rFonts w:ascii="Times New Roman" w:cs="Times New Roman" w:eastAsia="Times New Roman" w:hAnsi="Times New Roman"/>
                <w:rtl w:val="0"/>
              </w:rPr>
              <w:t xml:space="preserve">ystems Data and increased participation in student clubs and organizations.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Sept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June 2017</w:t>
            </w:r>
          </w:p>
        </w:tc>
      </w:tr>
      <w:tr>
        <w:trPr>
          <w:trHeight w:val="420" w:hRule="atLeast"/>
        </w:trPr>
        <w:tc>
          <w:tcPr>
            <w:tcBorders>
              <w:right w:color="000000" w:space="0" w:sz="8" w:val="single"/>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rPr>
          <w:trHeight w:val="420" w:hRule="atLeast"/>
        </w:trPr>
        <w:tc>
          <w:tcPr>
            <w:tcBorders>
              <w:right w:color="000000" w:space="0" w:sz="8" w:val="single"/>
            </w:tcBorders>
            <w:shd w:fill="d9d9d9"/>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Professional Development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Improve instruction, assessment, and increase teacher collaboration.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Continue to develop teaching competencies in Mastery Based Learning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Professional Learning Groups (PLG’s) will meet for 225 minutes every two weeks</w:t>
            </w:r>
            <w:r w:rsidDel="00000000" w:rsidR="00000000" w:rsidRPr="00000000">
              <w:rPr>
                <w:rFonts w:ascii="Times New Roman" w:cs="Times New Roman" w:eastAsia="Times New Roman" w:hAnsi="Times New Roman"/>
                <w:rtl w:val="0"/>
              </w:rPr>
              <w:t xml:space="preserve"> in order to look at student work, instructional practices, curriculum, MBL implementation, in order to collaborate and continually improve instruction and strengthen student outcomes.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Review of current teaching strategies and practices.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Through district and school based professional development, use of the MBL toolkit, and PLG work, the administration and </w:t>
            </w:r>
            <w:r w:rsidDel="00000000" w:rsidR="00000000" w:rsidRPr="00000000">
              <w:rPr>
                <w:rFonts w:ascii="Times New Roman" w:cs="Times New Roman" w:eastAsia="Times New Roman" w:hAnsi="Times New Roman"/>
                <w:rtl w:val="0"/>
              </w:rPr>
              <w:t xml:space="preserve">staff will continue to prepare for school-wide implementation of Mastery Based Learning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Continued visit with PLG’s and viewing of the PLG logs that each group is maintaining.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District walk-through protocol</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Ongoing, 2016-2017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Ongoing, 2016-2017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Ongoing, 2015-2016</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June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June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June 2016</w:t>
            </w:r>
          </w:p>
        </w:tc>
      </w:tr>
      <w:tr>
        <w:trPr>
          <w:trHeight w:val="420" w:hRule="atLeast"/>
        </w:trPr>
        <w:tc>
          <w:tcPr>
            <w:tcBorders>
              <w:right w:color="000000" w:space="0" w:sz="8" w:val="single"/>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rPr>
          <w:trHeight w:val="560" w:hRule="atLeast"/>
        </w:trPr>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Technology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Increase instructional technology.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Upgrade library design and function.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Increasing Chromebook count in order to balance out the departments and provide equitable distribution for students in all subject areas.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Continue transition to Google operating system for email and shared documents.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Complete installation of media scape and have it fully functional and available to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Research bringing the Maker-Space concept and curriculum to high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9900ff"/>
                <w:rtl w:val="0"/>
              </w:rPr>
              <w:t xml:space="preserve"> </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Technology inventory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Increased use of google drive.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Use of Media Scape by students, staff, and district personnel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Research and development  of Maker-Space environment and high school curriculum writing.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Dec 2016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Ongoing, 2015-2017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Nov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Nov 2016</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June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June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Jan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Sept 2017</w:t>
            </w:r>
          </w:p>
        </w:tc>
      </w:tr>
    </w:tbl>
    <w:p w:rsidR="00000000" w:rsidDel="00000000" w:rsidP="00000000" w:rsidRDefault="00000000" w:rsidRPr="00000000">
      <w:pPr>
        <w:contextualSpacing w:val="0"/>
      </w:pPr>
      <w:r w:rsidDel="00000000" w:rsidR="00000000" w:rsidRPr="00000000">
        <w:rPr>
          <w:rtl w:val="0"/>
        </w:rPr>
      </w:r>
    </w:p>
    <w:sectPr>
      <w:headerReference r:id="rId5"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rtl w:val="0"/>
      </w:rPr>
      <w:t xml:space="preserve">Lyman Hall School Improvement Plan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rtl w:val="0"/>
      </w:rPr>
      <w:t xml:space="preserve">2016-2017</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