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1"/>
        <w:bidiVisual w:val="0"/>
        <w:tblW w:w="144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3160"/>
        <w:gridCol w:w="3040"/>
        <w:gridCol w:w="2600"/>
        <w:gridCol w:w="1900"/>
        <w:gridCol w:w="1920"/>
        <w:tblGridChange w:id="0">
          <w:tblGrid>
            <w:gridCol w:w="1800"/>
            <w:gridCol w:w="3160"/>
            <w:gridCol w:w="3040"/>
            <w:gridCol w:w="2600"/>
            <w:gridCol w:w="1900"/>
            <w:gridCol w:w="1920"/>
          </w:tblGrid>
        </w:tblGridChange>
      </w:tblGrid>
      <w:tr>
        <w:trPr>
          <w:trHeight w:val="102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Strategic Plan Area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Goal(s) – Intended Growth Outcomes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Objective(s) – Actions or Strategies to be Implemented </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Measurement Tool</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Interim Progress Report (Date and Data)</w:t>
            </w:r>
          </w:p>
        </w:tc>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Final Progress Report (Date and Data)</w:t>
            </w:r>
          </w:p>
        </w:tc>
      </w:tr>
      <w:tr>
        <w:trPr>
          <w:trHeight w:val="3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62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Curriculum</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Reading</w:t>
            </w:r>
          </w:p>
        </w:tc>
        <w:tc>
          <w:tcPr/>
          <w:p w:rsidR="00000000" w:rsidDel="00000000" w:rsidP="00000000" w:rsidRDefault="00000000" w:rsidRPr="00000000">
            <w:pPr>
              <w:ind w:left="30" w:firstLine="0"/>
              <w:contextualSpacing w:val="0"/>
            </w:pPr>
            <w:r w:rsidDel="00000000" w:rsidR="00000000" w:rsidRPr="00000000">
              <w:rPr>
                <w:rFonts w:ascii="Playfair Display" w:cs="Playfair Display" w:eastAsia="Playfair Display" w:hAnsi="Playfair Display"/>
                <w:sz w:val="20"/>
                <w:szCs w:val="20"/>
                <w:rtl w:val="0"/>
              </w:rPr>
              <w:t xml:space="preserve">Increase student achievement in their ability to read and comprehend text.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and Teachers will use </w:t>
            </w:r>
            <w:r w:rsidDel="00000000" w:rsidR="00000000" w:rsidRPr="00000000">
              <w:rPr>
                <w:rFonts w:ascii="Playfair Display" w:cs="Playfair Display" w:eastAsia="Playfair Display" w:hAnsi="Playfair Display"/>
                <w:sz w:val="20"/>
                <w:szCs w:val="20"/>
                <w:rtl w:val="0"/>
              </w:rPr>
              <w:t xml:space="preserve">IRLA </w:t>
            </w:r>
            <w:r w:rsidDel="00000000" w:rsidR="00000000" w:rsidRPr="00000000">
              <w:rPr>
                <w:rFonts w:ascii="Playfair Display" w:cs="Playfair Display" w:eastAsia="Playfair Display" w:hAnsi="Playfair Display"/>
                <w:sz w:val="20"/>
                <w:szCs w:val="20"/>
                <w:rtl w:val="0"/>
              </w:rPr>
              <w:t xml:space="preserve">(Independent Reading Level Assessment) to inform instructional practices and individual student conferences.  Provide professional development on power goals and interpretation of IRLA (Independent Reading Level Assessment) data to better inform student conferences and small group work.</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Teachers will continue STAR as a universal screen and progress monitoring tool.</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and Teachers will analyze data to inform instruction during grade level meeting time</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Literacy Coach will provide embedded PD to classroom teachers and grade levels.  </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School based time will Participate in CSDE ReadConn professional development opportunities</w:t>
            </w:r>
          </w:p>
        </w:tc>
        <w:tc>
          <w:tcPr/>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Screen 4x per year</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IRLA (Independent Reading Level Assessment) 4x per year</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SchoolPace </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STAR progress monitoring data</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Summative Unit Tasks</w:t>
            </w:r>
          </w:p>
          <w:p w:rsidR="00000000" w:rsidDel="00000000" w:rsidP="00000000" w:rsidRDefault="00000000" w:rsidRPr="00000000">
            <w:pPr>
              <w:numPr>
                <w:ilvl w:val="0"/>
                <w:numId w:val="2"/>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Teacher’s conferencing notes on student progress</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September 2016</w:t>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December 2016</w:t>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March 2017</w:t>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May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June 2017</w:t>
            </w:r>
          </w:p>
        </w:tc>
      </w:tr>
      <w:tr>
        <w:trPr>
          <w:trHeight w:val="4780" w:hRule="atLeast"/>
        </w:trPr>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CurriculumMath</w:t>
            </w:r>
          </w:p>
        </w:tc>
        <w:tc>
          <w:tcPr/>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Increase student achievement in numeracy aligned with grade level CT State Standards </w:t>
            </w:r>
          </w:p>
        </w:tc>
        <w:tc>
          <w:tcPr/>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and teacher will review universal screen data to inform flex time groupings.</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Interventionists will implement Math In Motion as a standards based curriculum for math intervention students.  </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Math Coach to provide embedded PD to classroom teachers and grade levels.</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Curriculum Specialists will discuss the standards and corresponding instructional strategies aligned to math units during District PD Days.  Teachers will bring back knowledge to grade level meetings.</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Teachers will analyze data from unit math performance tasks to align areas of need with flex time groupings.  </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u w:val="none"/>
              </w:rPr>
            </w:pPr>
            <w:r w:rsidDel="00000000" w:rsidR="00000000" w:rsidRPr="00000000">
              <w:rPr>
                <w:rFonts w:ascii="Playfair Display" w:cs="Playfair Display" w:eastAsia="Playfair Display" w:hAnsi="Playfair Display"/>
                <w:sz w:val="20"/>
                <w:szCs w:val="20"/>
                <w:rtl w:val="0"/>
              </w:rPr>
              <w:t xml:space="preserve">Teachers will incorporate number talks as consistent instructional practice per unit planners.</w:t>
            </w:r>
          </w:p>
        </w:tc>
        <w:tc>
          <w:tcPr/>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Universal Screens 4x per year</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Exemplars</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Performance task data review</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Math in Motion</w:t>
            </w:r>
          </w:p>
          <w:p w:rsidR="00000000" w:rsidDel="00000000" w:rsidP="00000000" w:rsidRDefault="00000000" w:rsidRPr="00000000">
            <w:pPr>
              <w:numPr>
                <w:ilvl w:val="0"/>
                <w:numId w:val="1"/>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STAR progress monitoring data</w:t>
            </w:r>
          </w:p>
          <w:p w:rsidR="00000000" w:rsidDel="00000000" w:rsidP="00000000" w:rsidRDefault="00000000" w:rsidRPr="00000000">
            <w:pPr>
              <w:ind w:left="72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September 2016</w:t>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December 2016</w:t>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March 2017</w:t>
            </w:r>
          </w:p>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May 2017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June 2017</w:t>
            </w:r>
          </w:p>
        </w:tc>
      </w:tr>
      <w:tr>
        <w:trPr>
          <w:trHeight w:val="3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8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Community Outreach / Partnerships</w:t>
            </w:r>
          </w:p>
        </w:tc>
        <w:tc>
          <w:tcPr/>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Rock Hill will keep the parent community informed of district and school events in an effort to increase participation and level of awareness of Wallingford Public Schools’ mission/vision.</w:t>
            </w:r>
          </w:p>
        </w:tc>
        <w:tc>
          <w:tcPr/>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and teachers will plan Curriculum nights </w:t>
            </w:r>
          </w:p>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will send weekly bulletins for school information</w:t>
            </w:r>
          </w:p>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and teachers will use social media (twitter, remind) and other electronic communications</w:t>
            </w:r>
          </w:p>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Rock Hill staff will expand opportunities for parents to come into the building and be involved in their child’s education (American Education Week, Open House, Writing Celebrations, Holiday Concerts, Classroom Activities)</w:t>
            </w:r>
          </w:p>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Administration and Teachers will collaborate with, as well as attend Parent Teacher Advisory Council (PTAC) and Parent Teacher Organization (PTO) meetings </w:t>
            </w:r>
            <w:r w:rsidDel="00000000" w:rsidR="00000000" w:rsidRPr="00000000">
              <w:rPr>
                <w:rFonts w:ascii="Playfair Display" w:cs="Playfair Display" w:eastAsia="Playfair Display" w:hAnsi="Playfair Display"/>
                <w:sz w:val="20"/>
                <w:szCs w:val="20"/>
                <w:rtl w:val="0"/>
              </w:rPr>
              <w:t xml:space="preserve"> to provide the school community with academic and social/ emotional student activities, assemblies and fundraiser updates</w:t>
            </w:r>
            <w:r w:rsidDel="00000000" w:rsidR="00000000" w:rsidRPr="00000000">
              <w:rPr>
                <w:rtl w:val="0"/>
              </w:rPr>
            </w:r>
          </w:p>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tl w:val="0"/>
              </w:rPr>
            </w:r>
          </w:p>
        </w:tc>
        <w:tc>
          <w:tcPr/>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Parent Survey:  questions will be added related to communication tools and their effectiveness</w:t>
            </w:r>
          </w:p>
          <w:p w:rsidR="00000000" w:rsidDel="00000000" w:rsidP="00000000" w:rsidRDefault="00000000" w:rsidRPr="00000000">
            <w:pPr>
              <w:numPr>
                <w:ilvl w:val="0"/>
                <w:numId w:val="5"/>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Attendance at school events</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February 2016</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June 2016</w:t>
            </w:r>
          </w:p>
        </w:tc>
      </w:tr>
      <w:tr>
        <w:trPr>
          <w:trHeight w:val="36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Climate</w:t>
            </w:r>
          </w:p>
        </w:tc>
        <w:tc>
          <w:tcPr/>
          <w:p w:rsidR="00000000" w:rsidDel="00000000" w:rsidP="00000000" w:rsidRDefault="00000000" w:rsidRPr="00000000">
            <w:pPr>
              <w:ind w:left="329" w:firstLine="0"/>
              <w:contextualSpacing w:val="0"/>
            </w:pPr>
            <w:r w:rsidDel="00000000" w:rsidR="00000000" w:rsidRPr="00000000">
              <w:rPr>
                <w:rFonts w:ascii="Playfair Display" w:cs="Playfair Display" w:eastAsia="Playfair Display" w:hAnsi="Playfair Display"/>
                <w:sz w:val="20"/>
                <w:szCs w:val="20"/>
                <w:rtl w:val="0"/>
              </w:rPr>
              <w:t xml:space="preserve">Increase positive behaviors</w:t>
            </w:r>
            <w:r w:rsidDel="00000000" w:rsidR="00000000" w:rsidRPr="00000000">
              <w:rPr>
                <w:rFonts w:ascii="Playfair Display" w:cs="Playfair Display" w:eastAsia="Playfair Display" w:hAnsi="Playfair Display"/>
                <w:sz w:val="20"/>
                <w:szCs w:val="20"/>
                <w:rtl w:val="0"/>
              </w:rPr>
              <w:t xml:space="preserve"> and improve communication among all school community members</w:t>
            </w:r>
          </w:p>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Counselors will use the Devereux Student Strengths Assessment (DESSA) to form small flexible groups for targeted intervention</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Climate Committee will refine and adjust school-wide behavior plan during monthly climate meetings</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Teachers will expand learning in social supports through Responsive Classroom Training</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Rock Hill staff will create opportunities for school wide communication and celebration </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Administration and Climate Committee will have continued collaboration with Student Council, K Kids, and Safety Patrol to provide an opportunity for student voice in implementing activities for building school spirit and a continued positive climate</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and teachers will keep our school website current, as well as use  Twitter and SchoolMessenger to keep frequent communication about important happenings</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School Climate Committee will investigate the feasibility and alignment of the 2nd step program as a way to provide Tier I instruction in the area of social emotional learning.</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Continue collaborative efforts for staff to participate in the happenings of the school (Ex. Staff can select to participate in a school committee of their interest, staff is included in on-going communications with families, Staff presents at monthly town meetings and Climate Committee and the Sunshine Committee will provide on-going social opportunities for staff  </w:t>
            </w:r>
          </w:p>
        </w:tc>
        <w:tc>
          <w:tcPr/>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DESSA results and progress monitoring data</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bookmarkStart w:colFirst="0" w:colLast="0" w:name="_gjdgxs" w:id="0"/>
            <w:bookmarkEnd w:id="0"/>
            <w:r w:rsidDel="00000000" w:rsidR="00000000" w:rsidRPr="00000000">
              <w:rPr>
                <w:rFonts w:ascii="Playfair Display" w:cs="Playfair Display" w:eastAsia="Playfair Display" w:hAnsi="Playfair Display"/>
                <w:sz w:val="20"/>
                <w:szCs w:val="20"/>
                <w:rtl w:val="0"/>
              </w:rPr>
              <w:t xml:space="preserve">Climate meeting minutes</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Professional development reflections after Responsive Classroom Training</w:t>
            </w:r>
          </w:p>
          <w:p w:rsidR="00000000" w:rsidDel="00000000" w:rsidP="00000000" w:rsidRDefault="00000000" w:rsidRPr="00000000">
            <w:pPr>
              <w:numPr>
                <w:ilvl w:val="0"/>
                <w:numId w:val="4"/>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School Climate Survey Results</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February 2016</w:t>
            </w:r>
          </w:p>
        </w:tc>
        <w:tc>
          <w:tcPr/>
          <w:p w:rsidR="00000000" w:rsidDel="00000000" w:rsidP="00000000" w:rsidRDefault="00000000" w:rsidRPr="00000000">
            <w:pPr>
              <w:contextualSpacing w:val="0"/>
            </w:pPr>
            <w:r w:rsidDel="00000000" w:rsidR="00000000" w:rsidRPr="00000000">
              <w:rPr>
                <w:rFonts w:ascii="Noteworthy Light" w:cs="Noteworthy Light" w:eastAsia="Noteworthy Light" w:hAnsi="Noteworthy Light"/>
                <w:sz w:val="20"/>
                <w:szCs w:val="20"/>
                <w:rtl w:val="0"/>
              </w:rPr>
              <w:t xml:space="preserve">June 2015</w:t>
            </w:r>
          </w:p>
        </w:tc>
      </w:tr>
      <w:tr>
        <w:trPr>
          <w:trHeight w:val="4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6"/>
                <w:szCs w:val="26"/>
                <w:rtl w:val="0"/>
              </w:rPr>
              <w:t xml:space="preserve">Professional Development</w:t>
            </w:r>
          </w:p>
        </w:tc>
        <w:tc>
          <w:tcPr/>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Improved instruction and assessment</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Increase student engagement</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Use of professional technology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Continued Understanding of Mastery Based Learning/Personalized Learning</w:t>
            </w: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School and District PD Committee will offer PD during self-directed and building directed time in the areas of curriculum and instruction, positive behavior supports, and professional technology in an effort to increase student engagement and critical thinking.  </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Principal will support professional development initiated by staff during grade-level meetings, faculty meeting time and professional development days </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curriculum office will provide professional development offerings for non-certified staff</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Literacy coaches and interventionists will  will share IRLA information with staff (assessment, instruction, book leveling)</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Bilingual/EL teacher will utilize LAS Links assessment (new version-data review)</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Interventionists and teachers will utilize STAR (Math, Literacy) assessment information and goal setting</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IT department will provide professional development for interactive technology in classrooms (TouchIt TVs)</w:t>
            </w:r>
          </w:p>
        </w:tc>
        <w:tc>
          <w:tcPr/>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Professional development survey results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February 2016</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June 2017</w:t>
            </w:r>
          </w:p>
        </w:tc>
      </w:tr>
      <w:tr>
        <w:trPr>
          <w:trHeight w:val="42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560" w:hRule="atLeast"/>
        </w:trPr>
        <w:tc>
          <w:tcPr>
            <w:shd w:fill="d9d9d9"/>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rtl w:val="0"/>
              </w:rPr>
              <w:t xml:space="preserve">Technology</w:t>
            </w:r>
          </w:p>
        </w:tc>
        <w:tc>
          <w:tcPr/>
          <w:p w:rsidR="00000000" w:rsidDel="00000000" w:rsidP="00000000" w:rsidRDefault="00000000" w:rsidRPr="00000000">
            <w:pPr>
              <w:ind w:left="360" w:firstLine="0"/>
              <w:contextualSpacing w:val="0"/>
            </w:pPr>
            <w:r w:rsidDel="00000000" w:rsidR="00000000" w:rsidRPr="00000000">
              <w:rPr>
                <w:rFonts w:ascii="Playfair Display" w:cs="Playfair Display" w:eastAsia="Playfair Display" w:hAnsi="Playfair Display"/>
                <w:sz w:val="20"/>
                <w:szCs w:val="20"/>
                <w:rtl w:val="0"/>
              </w:rPr>
              <w:t xml:space="preserve">Increase professional use of technology within the classroom.</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Teachers will expand use of chromebooks within the classroom</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Teachers will utilize student devices for personalized learning opportunities</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PD Committee will provide professional development for staff on use of technology in instruction, assessment, and learning. </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u w:val="none"/>
              </w:rPr>
            </w:pPr>
            <w:r w:rsidDel="00000000" w:rsidR="00000000" w:rsidRPr="00000000">
              <w:rPr>
                <w:rFonts w:ascii="Playfair Display" w:cs="Playfair Display" w:eastAsia="Playfair Display" w:hAnsi="Playfair Display"/>
                <w:sz w:val="20"/>
                <w:szCs w:val="20"/>
                <w:rtl w:val="0"/>
              </w:rPr>
              <w:t xml:space="preserve">District will continue to provide additional instructional technology in an effort to support students’ personalized learning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Monitor use of technology </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Technology use survey</w:t>
            </w:r>
          </w:p>
          <w:p w:rsidR="00000000" w:rsidDel="00000000" w:rsidP="00000000" w:rsidRDefault="00000000" w:rsidRPr="00000000">
            <w:pPr>
              <w:numPr>
                <w:ilvl w:val="0"/>
                <w:numId w:val="3"/>
              </w:numPr>
              <w:ind w:left="720" w:hanging="360"/>
              <w:contextualSpacing w:val="1"/>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Technology inventory</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February 2016</w:t>
            </w:r>
          </w:p>
        </w:tc>
        <w:tc>
          <w:tcPr/>
          <w:p w:rsidR="00000000" w:rsidDel="00000000" w:rsidP="00000000" w:rsidRDefault="00000000" w:rsidRPr="00000000">
            <w:pPr>
              <w:contextualSpacing w:val="0"/>
            </w:pPr>
            <w:r w:rsidDel="00000000" w:rsidR="00000000" w:rsidRPr="00000000">
              <w:rPr>
                <w:rFonts w:ascii="Playfair Display" w:cs="Playfair Display" w:eastAsia="Playfair Display" w:hAnsi="Playfair Display"/>
                <w:sz w:val="20"/>
                <w:szCs w:val="20"/>
                <w:rtl w:val="0"/>
              </w:rPr>
              <w:t xml:space="preserve">June 2016</w:t>
            </w:r>
          </w:p>
        </w:tc>
      </w:tr>
      <w:tr>
        <w:trPr>
          <w:trHeight w:val="40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 w:name="Noteworthy Light"/>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Rock Hill School Improvement Plan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2"/>
        <w:szCs w:val="32"/>
        <w:rtl w:val="0"/>
      </w:rPr>
      <w:t xml:space="preserve">2016-2017</w:t>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