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tbl>
      <w:tblPr>
        <w:tblStyle w:val="Table1"/>
        <w:bidiVisual w:val="0"/>
        <w:tblW w:w="144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0"/>
        <w:gridCol w:w="2175"/>
        <w:gridCol w:w="4155"/>
        <w:gridCol w:w="2400"/>
        <w:gridCol w:w="1965"/>
        <w:gridCol w:w="1785"/>
        <w:tblGridChange w:id="0">
          <w:tblGrid>
            <w:gridCol w:w="1920"/>
            <w:gridCol w:w="2175"/>
            <w:gridCol w:w="4155"/>
            <w:gridCol w:w="2400"/>
            <w:gridCol w:w="1965"/>
            <w:gridCol w:w="1785"/>
          </w:tblGrid>
        </w:tblGridChange>
      </w:tblGrid>
      <w:tr>
        <w:trPr>
          <w:trHeight w:val="1020" w:hRule="atLeast"/>
        </w:trPr>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Strategic Plan Area</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Goal(s) – Intended Growth Outcomes </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Objective(s) – Actions or Strategies to be Implemented </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Measurement Tool/Evidence</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Interim Progress Report (Date and Data)</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Final Progress Report (Date and Data)</w:t>
            </w:r>
          </w:p>
        </w:tc>
      </w:tr>
      <w:tr>
        <w:trPr>
          <w:trHeight w:val="620" w:hRule="atLeast"/>
        </w:trPr>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Curriculum</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62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English Language Arts (ELA)</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All students will increase achievement in reading</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Principal, interventionists, and classroom teachers will review, analyze, and use data from STAR and the Independent Reading Level Assessment (IRLA) to plan for instruction. Action plans will be created for students reading below grade level.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Principal, teachers, and interventionists will engage in ongoing grade level meetings to collaborate and plan for the English Language Arts block.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district literacy coach will provide ongoing professional development in reading in the classroom and grade level meeting setting.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Two ReadConn Teams will build staff capacity in phonological awareness by creating phonological awareness lessons to share with staff, as well as view module webinars and share new learning with staff.</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Meeting Agendas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STAR Reading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STAR Early Literacy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Independent Reading Level Assessment (IRLA)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Performance Tasks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AIMSweb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Observations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Walkthroughs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September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December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March 2017</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May 2017</w:t>
            </w:r>
          </w:p>
        </w:tc>
      </w:tr>
      <w:tr>
        <w:trPr>
          <w:trHeight w:val="62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Math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All students will increase achievement in math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Principal, interventionists, and classroom teachers will review, analyze, and use data from STAR Math. Action plans will be created for students performing below grade level in math.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Principal, teachers, and interventionists will engage in ongoing grade level meetings to collaborate and plan for number talks, math lessons, and math daily five.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district math coach will provide ongoing professional development with number talks units of study, and scoring criteria in the classroom and grade level meeting setting.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Meeting Agendas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STAR Math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Performance Tasks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AIMSweb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Observations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Walkthroughs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September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December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March 2017</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May 2017</w:t>
            </w:r>
          </w:p>
        </w:tc>
      </w:tr>
      <w:tr>
        <w:trPr>
          <w:trHeight w:val="3520" w:hRule="atLeast"/>
        </w:trPr>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Community Outreach / Partnerships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Increase community involvement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Staff will invite community partners and families to engage in different school programs and activities including guest readers, volunteer readers, and family events.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Our school will c</w:t>
            </w:r>
            <w:r w:rsidDel="00000000" w:rsidR="00000000" w:rsidRPr="00000000">
              <w:rPr>
                <w:rFonts w:ascii="Times New Roman" w:cs="Times New Roman" w:eastAsia="Times New Roman" w:hAnsi="Times New Roman"/>
                <w:rtl w:val="0"/>
              </w:rPr>
              <w:t xml:space="preserve">ollaborate with business and community agencies </w:t>
            </w:r>
            <w:r w:rsidDel="00000000" w:rsidR="00000000" w:rsidRPr="00000000">
              <w:rPr>
                <w:rFonts w:ascii="Times New Roman" w:cs="Times New Roman" w:eastAsia="Times New Roman" w:hAnsi="Times New Roman"/>
                <w:rtl w:val="0"/>
              </w:rPr>
              <w:t xml:space="preserve">including We Care, 3M (Junior Achievement), Elks, and Adult Education to meet the needs of families in our school community.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Staff will utilize social media to increase partnerships with families and the community</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Google Calendar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Attendance at Events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Twitter Followers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September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December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March 2017</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May 2017</w:t>
            </w:r>
          </w:p>
        </w:tc>
      </w:tr>
      <w:tr>
        <w:trPr>
          <w:trHeight w:val="560" w:hRule="atLeast"/>
        </w:trPr>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Strategic Plan Area</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Goal(s) – Intended Growth Outcomes </w:t>
            </w:r>
          </w:p>
        </w:tc>
        <w:tc>
          <w:tcPr>
            <w:shd w:fill="d9d9d9"/>
          </w:tcPr>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Objective(s) – Actions or Strategies to be Implemented </w:t>
            </w:r>
          </w:p>
        </w:tc>
        <w:tc>
          <w:tcPr>
            <w:shd w:fill="d9d9d9"/>
          </w:tcPr>
          <w:p w:rsidR="00000000" w:rsidDel="00000000" w:rsidP="00000000" w:rsidRDefault="00000000" w:rsidRPr="00000000">
            <w:pPr>
              <w:contextualSpacing w:val="0"/>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Measurement Tool/Evidence</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Interim Progress Report (Date and Data)</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Final Progress Report (Date and Data)</w:t>
            </w:r>
          </w:p>
        </w:tc>
      </w:tr>
      <w:tr>
        <w:trPr>
          <w:trHeight w:val="560" w:hRule="atLeast"/>
        </w:trPr>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Professional Development</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Increase Foundational Reading Skills in all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Increase understanding of the CCT Domains, Indicators, and Attributes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Build Staff Capacity with  Mastery Based Learning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ReadConn teams will build capacity with foundational reading skills by attending ongoing regional workshops, and sharing new learning with staff at grade level meetings and staff meetings.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Principal will provide time to examine, discuss, and make connections to the CCT Rubric and Mastery Based Learning at staff meetings.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Stevens staff will include Mastery Based Learning as an agenda item on all grade level meeting and staff meeting agendas. Staff will engage in ongoing conversations about the ten components of a Mastery Based Learning system.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Principal will promote and recommend Collegial Visits with a focus on Mastery Based Learning and personalized learning.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Building based professional development committee will provide Mastery Based Learning resources for self-directed professional development days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Grade level teams will utilize grade level meeting and staff meeting time to revisit instructional strategies for Habits of Work and calibration of Habits of Work scoring.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STAR Reading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STAR Early Literacy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Observations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Walkthroughs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Meeting Agendas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Goal Setting, Mid-Year, and End of Year Conferences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September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December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March 2017</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May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60" w:hRule="atLeast"/>
        </w:trPr>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Strategic Plan Area</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Goal(s) – Intended Growth Outcomes </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Objective(s) – Actions or Strategies to be Implemented </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Measurement Tool/Evidence</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Interim Progress Report (Date and Data)</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Final Progress Report (Date and Data)</w:t>
            </w:r>
          </w:p>
        </w:tc>
      </w:tr>
      <w:tr>
        <w:trPr>
          <w:trHeight w:val="560" w:hRule="atLeast"/>
        </w:trPr>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Technology</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Build Capacity with Google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Choice of device for Universal Screenings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Increased use of Technology in the Prek-2 classroom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Communication of Technology Needs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Stevens Staff will utilize Google calendar, forms, sheets,  mail, and docs as an ongoing form of communication at Stevens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Students will be provided a choice of iPads or Desktops for Universal Screening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Computer lessons for PreK classes.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Fifty new iPads divided among all K-2 classrooms to support personalized learning.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Ongoing professional learning on SMART Boards.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Bi-Monthly meetings with Technology Team.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Google Forms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Google Docs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Observations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Meeting Minutes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September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December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March 2017</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June, 2017</w:t>
            </w:r>
          </w:p>
        </w:tc>
      </w:tr>
      <w:tr>
        <w:trPr>
          <w:trHeight w:val="400" w:hRule="atLeast"/>
        </w:trPr>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Strategic Plan Area</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Goal(s) – Intended Growth Outcomes </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Objective(s) – Actions or Strategies to be Implemented </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Measurement Tool/Evidence</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Interim Progress Report (Date and Data)</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Final Progress Report (Date and Data)</w:t>
            </w:r>
          </w:p>
        </w:tc>
      </w:tr>
      <w:tr>
        <w:trPr>
          <w:trHeight w:val="400" w:hRule="atLeast"/>
        </w:trPr>
        <w:tc>
          <w:tcPr>
            <w:shd w:fill="ffffff"/>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School Climate</w:t>
            </w:r>
          </w:p>
        </w:tc>
        <w:tc>
          <w:tcPr>
            <w:shd w:fill="ffffff"/>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Create a strong and positive school community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Positive interactions between students and staff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 shared vision for school climate by ALL members of the school community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Improved </w:t>
            </w:r>
            <w:r w:rsidDel="00000000" w:rsidR="00000000" w:rsidRPr="00000000">
              <w:rPr>
                <w:rFonts w:ascii="Times New Roman" w:cs="Times New Roman" w:eastAsia="Times New Roman" w:hAnsi="Times New Roman"/>
                <w:rtl w:val="0"/>
              </w:rPr>
              <w:t xml:space="preserve"> student behavior </w:t>
            </w:r>
            <w:r w:rsidDel="00000000" w:rsidR="00000000" w:rsidRPr="00000000">
              <w:rPr>
                <w:rFonts w:ascii="Times New Roman" w:cs="Times New Roman" w:eastAsia="Times New Roman" w:hAnsi="Times New Roman"/>
                <w:rtl w:val="0"/>
              </w:rPr>
              <w:t xml:space="preserve">in all parts of the school community &amp; on the school bus. </w:t>
            </w:r>
          </w:p>
        </w:tc>
        <w:tc>
          <w:tcPr>
            <w:shd w:fill="ffffff"/>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School Climate Committee will design and implement a 2016-2017 Climate Plan encompassing Responsive Classroom and Positive Behavior Interventions and Supports (PBIS).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Climate Team will design Golden Rulers to be distributed, earned, and celebrated on the morning announcements highlighting respectful student and staff behavior.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Direct Instruction on cooperation, assertiveness, responsibility, empathy, and self-control (CARES) will take place in classroom and whole school meetings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Principal will share Stevens’ vision with ALL stakeholders through parent handouts, open house presentation,  staff presentations, town meetings, and daily announcements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Bus Expectations, cafeteria, and recess meetings will  facilitated by principal and recess/lunch staff to reinforce behaviors in all parts of the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School Psychologists will create lessons to support positive behavior.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Discipline referral form will be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updated by climate committee to include student reflections &amp; review of positive behavioral supports to try before filling out the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Climate Survey Data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Meeting Agendas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Decrease in discipline and bus conduct forms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Golder Rulers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Observations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Walkthroughs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September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December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March 2017</w:t>
            </w:r>
          </w:p>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June, 2017</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szCs w:val="32"/>
        <w:rtl w:val="0"/>
      </w:rPr>
      <w:t xml:space="preserve">E.C. Stevens School Improvement Plan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szCs w:val="32"/>
        <w:rtl w:val="0"/>
      </w:rPr>
      <w:t xml:space="preserve">2016-2017</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